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4C2B"/>
          <w:sz w:val="19"/>
        </w:rPr>
        <w:t>MODIFIABLE REQUEST FOR PROPOSALS (RFP) TEMPLATE  |  VNA-RFP-007</w:t>
      </w:r>
    </w:p>
    <w:p>
      <w:pPr>
        <w:pStyle w:val="Heading1"/>
      </w:pPr>
      <w:r>
        <w:rPr>
          <w:color w:val="261B16"/>
        </w:rPr>
        <w:t>Request for Proposals (RFP): Microsoft Access (.accdb / .mdb) &amp; Excel VBA Macro Migration to Oracle APEX 24.2</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B44C2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C1E18"/>
          </w:tcPr>
          <w:p>
            <w:r>
              <w:rPr>
                <w:b/>
                <w:color w:val="FFFFFF"/>
                <w:sz w:val="19"/>
              </w:rPr>
              <w:t>Procurement Milestone / Field</w:t>
            </w:r>
          </w:p>
        </w:tc>
        <w:tc>
          <w:tcPr>
            <w:tcW w:type="dxa" w:w="5040"/>
            <w:shd w:val="clear" w:color="auto" w:fill="2C1E18"/>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VNA-RFP-007 (Companion to Solution Brief VNA-SB-007)</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Microsoft Excel (.xlsx, VBA Macros), MS Access (.accdb/.mdb) &amp; Lotus Notes environment to Oracle APEX 24.2 Data Apps, Autonomous Database &amp; AMP Governance.</w:t>
      </w:r>
    </w:p>
    <w:p>
      <w:pPr>
        <w:pStyle w:val="ListBullet"/>
      </w:pPr>
      <w:r>
        <w:t>Finance, operations, and field teams build complex Excel workbooks with VLOOKUPs, VBA macros, and MS Access forms because traditional IT backlogs take 9 months to deliver a simple departmental application.</w:t>
      </w:r>
    </w:p>
    <w:p>
      <w:pPr>
        <w:pStyle w:val="ListBullet"/>
      </w:pPr>
      <w:r>
        <w:t>Shared spreadsheets break under concurrent editing, lack row-level security, fail SOX and internal audit controls, and create '20 versions of the truth' across email attachments.</w:t>
      </w:r>
    </w:p>
    <w:p>
      <w:pPr>
        <w:pStyle w:val="ListBullet"/>
      </w:pPr>
      <w:r>
        <w:t>MS Access `.mdb`/`.accdb` files on SMB network shares corrupt frequently over VPNs and are being actively blocked by Microsoft 365 security policies.</w:t>
      </w:r>
    </w:p>
    <w:p>
      <w:pPr>
        <w:pStyle w:val="Heading2"/>
      </w:pPr>
      <w:r>
        <w:rPr>
          <w:color w:val="B44C2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B44C2B"/>
          </w:tcPr>
          <w:p>
            <w:r>
              <w:rPr>
                <w:b/>
                <w:color w:val="FFFFFF"/>
                <w:sz w:val="19"/>
              </w:rPr>
              <w:t>Inventory Dimension</w:t>
            </w:r>
          </w:p>
        </w:tc>
        <w:tc>
          <w:tcPr>
            <w:tcW w:type="dxa" w:w="3360"/>
            <w:shd w:val="clear" w:color="auto" w:fill="B44C2B"/>
          </w:tcPr>
          <w:p>
            <w:r>
              <w:rPr>
                <w:b/>
                <w:color w:val="FFFFFF"/>
                <w:sz w:val="19"/>
              </w:rPr>
              <w:t>Current Baseline Footprint (Editable)</w:t>
            </w:r>
          </w:p>
        </w:tc>
        <w:tc>
          <w:tcPr>
            <w:tcW w:type="dxa" w:w="3360"/>
            <w:shd w:val="clear" w:color="auto" w:fill="B44C2B"/>
          </w:tcPr>
          <w:p>
            <w:r>
              <w:rPr>
                <w:b/>
                <w:color w:val="FFFFFF"/>
                <w:sz w:val="19"/>
              </w:rPr>
              <w:t>Target Modernization SLA / Objective</w:t>
            </w:r>
          </w:p>
        </w:tc>
      </w:tr>
      <w:tr>
        <w:tc>
          <w:tcPr>
            <w:tcW w:type="dxa" w:w="3360"/>
          </w:tcPr>
          <w:p>
            <w:r>
              <w:rPr>
                <w:b/>
              </w:rPr>
              <w:t>Legacy Source Stack (Stack X)</w:t>
            </w:r>
          </w:p>
        </w:tc>
        <w:tc>
          <w:tcPr>
            <w:tcW w:type="dxa" w:w="3360"/>
          </w:tcPr>
          <w:p>
            <w:r>
              <w:t>Microsoft Excel (.xlsx, VBA Macros), MS Access (.accdb/.mdb) &amp; Lotus Notes</w:t>
            </w:r>
          </w:p>
        </w:tc>
        <w:tc>
          <w:tcPr>
            <w:tcW w:type="dxa" w:w="3360"/>
          </w:tcPr>
          <w:p>
            <w:r>
              <w:t>Full retirement / modernization</w:t>
            </w:r>
          </w:p>
        </w:tc>
      </w:tr>
      <w:tr>
        <w:tc>
          <w:tcPr>
            <w:tcW w:type="dxa" w:w="3360"/>
          </w:tcPr>
          <w:p>
            <w:r>
              <w:rPr>
                <w:b/>
              </w:rPr>
              <w:t>Target Architecture (Stack Y)</w:t>
            </w:r>
          </w:p>
        </w:tc>
        <w:tc>
          <w:tcPr>
            <w:tcW w:type="dxa" w:w="3360"/>
          </w:tcPr>
          <w:p>
            <w:r>
              <w:t>Oracle APEX 24.2 Data Apps, Autonomous Database &amp; AMP Governance</w:t>
            </w:r>
          </w:p>
        </w:tc>
        <w:tc>
          <w:tcPr>
            <w:tcW w:type="dxa" w:w="3360"/>
          </w:tcPr>
          <w:p>
            <w:r>
              <w:t>Production HA/DR &amp; security governance</w:t>
            </w:r>
          </w:p>
        </w:tc>
      </w:tr>
      <w:tr>
        <w:tc>
          <w:tcPr>
            <w:tcW w:type="dxa" w:w="3360"/>
          </w:tcPr>
          <w:p>
            <w:r>
              <w:rPr>
                <w:b/>
              </w:rPr>
              <w:t>Access Databases &amp; Excel Workbooks</w:t>
            </w:r>
          </w:p>
        </w:tc>
        <w:tc>
          <w:tcPr>
            <w:tcW w:type="dxa" w:w="3360"/>
          </w:tcPr>
          <w:p>
            <w:r>
              <w:t>[Insert Count, e.g., 35 files]</w:t>
            </w:r>
          </w:p>
        </w:tc>
        <w:tc>
          <w:tcPr>
            <w:tcW w:type="dxa" w:w="3360"/>
          </w:tcPr>
          <w:p>
            <w:r>
              <w:t>100% functional parity &amp; optimization</w:t>
            </w:r>
          </w:p>
        </w:tc>
      </w:tr>
      <w:tr>
        <w:tc>
          <w:tcPr>
            <w:tcW w:type="dxa" w:w="3360"/>
          </w:tcPr>
          <w:p>
            <w:r>
              <w:rPr>
                <w:b/>
              </w:rPr>
              <w:t>Access Queries, Reports &amp; VBA Macros</w:t>
            </w:r>
          </w:p>
        </w:tc>
        <w:tc>
          <w:tcPr>
            <w:tcW w:type="dxa" w:w="3360"/>
          </w:tcPr>
          <w:p>
            <w:r>
              <w:t>[Insert Count, e.g., 220 queries/reports]</w:t>
            </w:r>
          </w:p>
        </w:tc>
        <w:tc>
          <w:tcPr>
            <w:tcW w:type="dxa" w:w="3360"/>
          </w:tcPr>
          <w:p>
            <w:r>
              <w:t>Automated AST &amp; schema uplift</w:t>
            </w:r>
          </w:p>
        </w:tc>
      </w:tr>
      <w:tr>
        <w:tc>
          <w:tcPr>
            <w:tcW w:type="dxa" w:w="3360"/>
          </w:tcPr>
          <w:p>
            <w:r>
              <w:rPr>
                <w:b/>
              </w:rPr>
              <w:t>Query Fan-Out Rationalization (Deduplicate Access Queries -&gt; Core SQL + Runtime Filters)</w:t>
            </w:r>
          </w:p>
        </w:tc>
        <w:tc>
          <w:tcPr>
            <w:tcW w:type="dxa" w:w="3360"/>
          </w:tcPr>
          <w:p>
            <w:r>
              <w:t>[Insert Count, e.g., 82 %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B44C2B"/>
        </w:rPr>
        <w:t>Section 3: Mandatory Technical Scope of Work &amp; Conversion Matrix</w:t>
      </w:r>
    </w:p>
    <w:p>
      <w:pPr>
        <w:pStyle w:val="ListNumber"/>
      </w:pPr>
      <w:r>
        <w:rPr>
          <w:b/>
        </w:rPr>
        <w:t xml:space="preserve">[REQ-ARCH-01] </w:t>
      </w:r>
      <w:r>
        <w:t>Automated Workbook &amp; Access Schema Normalization: We ingest your `.xlsx`/`.xlsm` sheets and `.accdb` tables/queries, normalizing repeating columns into relational 3NF tables on Oracle Database 23ai / Autonomous Database with automatic foreign-key constraints.</w:t>
      </w:r>
    </w:p>
    <w:p>
      <w:pPr>
        <w:pStyle w:val="ListNumber"/>
      </w:pPr>
      <w:r>
        <w:rPr>
          <w:b/>
        </w:rPr>
        <w:t xml:space="preserve">[REQ-ARCH-02] </w:t>
      </w:r>
      <w:r>
        <w:t>Spreadsheet-Speed Interactive Grids: Users do not lose their spreadsheet ergonomics. We configure APEX 24.2 Interactive Grids with multi-cell copy/paste from Excel, inline keyboard navigation, freeze panes, column aggregations, and private saved views.</w:t>
      </w:r>
    </w:p>
    <w:p>
      <w:pPr>
        <w:pStyle w:val="ListNumber"/>
      </w:pPr>
      <w:r>
        <w:rPr>
          <w:b/>
        </w:rPr>
        <w:t xml:space="preserve">[REQ-ARCH-03] </w:t>
      </w:r>
      <w:r>
        <w:t>VBA Macro &amp; Formula Pushdown to PL/SQL: Fragile Excel formulas and VBA macros are converted into deterministic, unit-tested PL/SQL packages and APEX Computations that execute identically for every user.</w:t>
      </w:r>
    </w:p>
    <w:p>
      <w:pPr>
        <w:pStyle w:val="ListNumber"/>
      </w:pPr>
      <w:r>
        <w:rPr>
          <w:b/>
        </w:rPr>
        <w:t xml:space="preserve">[REQ-ARCH-04] </w:t>
      </w:r>
      <w:r>
        <w:t>Native Excel Upload/Download &amp; Workflow Approvals: Built-in `APEX_DATA_PARSER` pipelines allow users to drag-and-drop vendor `.xlsx`/`.csv` files with instant row-by-row validation exceptions, routed through native APEX Approvals and AMP audit logging.</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C1E18"/>
          </w:tcPr>
          <w:p>
            <w:r>
              <w:rPr>
                <w:b/>
                <w:color w:val="FFFFFF"/>
                <w:sz w:val="19"/>
              </w:rPr>
              <w:t>Req ID</w:t>
            </w:r>
          </w:p>
        </w:tc>
        <w:tc>
          <w:tcPr>
            <w:tcW w:type="dxa" w:w="2520"/>
            <w:shd w:val="clear" w:color="auto" w:fill="2C1E18"/>
          </w:tcPr>
          <w:p>
            <w:r>
              <w:rPr>
                <w:b/>
                <w:color w:val="FFFFFF"/>
                <w:sz w:val="19"/>
              </w:rPr>
              <w:t>Legacy Artifact / Baseline Workload</w:t>
            </w:r>
          </w:p>
        </w:tc>
        <w:tc>
          <w:tcPr>
            <w:tcW w:type="dxa" w:w="2520"/>
            <w:shd w:val="clear" w:color="auto" w:fill="2C1E18"/>
          </w:tcPr>
          <w:p>
            <w:r>
              <w:rPr>
                <w:b/>
                <w:color w:val="FFFFFF"/>
                <w:sz w:val="19"/>
              </w:rPr>
              <w:t>Required Target Architecture</w:t>
            </w:r>
          </w:p>
        </w:tc>
        <w:tc>
          <w:tcPr>
            <w:tcW w:type="dxa" w:w="2520"/>
            <w:shd w:val="clear" w:color="auto" w:fill="2C1E18"/>
          </w:tcPr>
          <w:p>
            <w:r>
              <w:rPr>
                <w:b/>
                <w:color w:val="FFFFFF"/>
                <w:sz w:val="19"/>
              </w:rPr>
              <w:t>Engineering Method &amp; Acceptance Gate</w:t>
            </w:r>
          </w:p>
        </w:tc>
      </w:tr>
      <w:tr>
        <w:tc>
          <w:tcPr>
            <w:tcW w:type="dxa" w:w="2520"/>
          </w:tcPr>
          <w:p>
            <w:r>
              <w:rPr>
                <w:b/>
              </w:rPr>
              <w:t>REQ-01</w:t>
            </w:r>
          </w:p>
        </w:tc>
        <w:tc>
          <w:tcPr>
            <w:tcW w:type="dxa" w:w="2520"/>
          </w:tcPr>
          <w:p>
            <w:r>
              <w:t>Excel Multi-Tab Workbook (`.xlsx` / `.xlsm`)</w:t>
            </w:r>
          </w:p>
        </w:tc>
        <w:tc>
          <w:tcPr>
            <w:tcW w:type="dxa" w:w="2520"/>
          </w:tcPr>
          <w:p>
            <w:r>
              <w:t>Normalized Oracle Schema + APEX Interactive Grids</w:t>
            </w:r>
          </w:p>
        </w:tc>
        <w:tc>
          <w:tcPr>
            <w:tcW w:type="dxa" w:w="2520"/>
          </w:tcPr>
          <w:p>
            <w:r>
              <w:t>Automated Data Modeling &amp; Bulk Ingestion</w:t>
            </w:r>
          </w:p>
        </w:tc>
      </w:tr>
      <w:tr>
        <w:tc>
          <w:tcPr>
            <w:tcW w:type="dxa" w:w="2520"/>
          </w:tcPr>
          <w:p>
            <w:r>
              <w:rPr>
                <w:b/>
              </w:rPr>
              <w:t>REQ-02</w:t>
            </w:r>
          </w:p>
        </w:tc>
        <w:tc>
          <w:tcPr>
            <w:tcW w:type="dxa" w:w="2520"/>
          </w:tcPr>
          <w:p>
            <w:r>
              <w:t>Excel VLOOKUP / XLOOKUP / SUMIFS Formulas</w:t>
            </w:r>
          </w:p>
        </w:tc>
        <w:tc>
          <w:tcPr>
            <w:tcW w:type="dxa" w:w="2520"/>
          </w:tcPr>
          <w:p>
            <w:r>
              <w:t>Relational Foreign Keys, SQL Analytic Views &amp; LOVs</w:t>
            </w:r>
          </w:p>
        </w:tc>
        <w:tc>
          <w:tcPr>
            <w:tcW w:type="dxa" w:w="2520"/>
          </w:tcPr>
          <w:p>
            <w:r>
              <w:t>Referential Integrity Enforcement</w:t>
            </w:r>
          </w:p>
        </w:tc>
      </w:tr>
      <w:tr>
        <w:tc>
          <w:tcPr>
            <w:tcW w:type="dxa" w:w="2520"/>
          </w:tcPr>
          <w:p>
            <w:r>
              <w:rPr>
                <w:b/>
              </w:rPr>
              <w:t>REQ-03</w:t>
            </w:r>
          </w:p>
        </w:tc>
        <w:tc>
          <w:tcPr>
            <w:tcW w:type="dxa" w:w="2520"/>
          </w:tcPr>
          <w:p>
            <w:r>
              <w:t>VBA Macros &amp; MS Access Event Modules</w:t>
            </w:r>
          </w:p>
        </w:tc>
        <w:tc>
          <w:tcPr>
            <w:tcW w:type="dxa" w:w="2520"/>
          </w:tcPr>
          <w:p>
            <w:r>
              <w:t>Oracle PL/SQL Packages + APEX Dynamic Actions</w:t>
            </w:r>
          </w:p>
        </w:tc>
        <w:tc>
          <w:tcPr>
            <w:tcW w:type="dxa" w:w="2520"/>
          </w:tcPr>
          <w:p>
            <w:r>
              <w:t>Server-Side Business Logic Pushdown</w:t>
            </w:r>
          </w:p>
        </w:tc>
      </w:tr>
      <w:tr>
        <w:tc>
          <w:tcPr>
            <w:tcW w:type="dxa" w:w="2520"/>
          </w:tcPr>
          <w:p>
            <w:r>
              <w:rPr>
                <w:b/>
              </w:rPr>
              <w:t>REQ-04</w:t>
            </w:r>
          </w:p>
        </w:tc>
        <w:tc>
          <w:tcPr>
            <w:tcW w:type="dxa" w:w="2520"/>
          </w:tcPr>
          <w:p>
            <w:r>
              <w:t>MS Access Forms &amp; Subforms (`.accdb`)</w:t>
            </w:r>
          </w:p>
        </w:tc>
        <w:tc>
          <w:tcPr>
            <w:tcW w:type="dxa" w:w="2520"/>
          </w:tcPr>
          <w:p>
            <w:r>
              <w:t>APEX Master-Detail Pages &amp; Modal Dialogs</w:t>
            </w:r>
          </w:p>
        </w:tc>
        <w:tc>
          <w:tcPr>
            <w:tcW w:type="dxa" w:w="2520"/>
          </w:tcPr>
          <w:p>
            <w:r>
              <w:t>Responsive Universal Theme 42 Conversion</w:t>
            </w:r>
          </w:p>
        </w:tc>
      </w:tr>
      <w:tr>
        <w:tc>
          <w:tcPr>
            <w:tcW w:type="dxa" w:w="2520"/>
          </w:tcPr>
          <w:p>
            <w:r>
              <w:rPr>
                <w:b/>
              </w:rPr>
              <w:t>REQ-05</w:t>
            </w:r>
          </w:p>
        </w:tc>
        <w:tc>
          <w:tcPr>
            <w:tcW w:type="dxa" w:w="2520"/>
          </w:tcPr>
          <w:p>
            <w:r>
              <w:t>Emailed Spreadsheet Approval Chains</w:t>
            </w:r>
          </w:p>
        </w:tc>
        <w:tc>
          <w:tcPr>
            <w:tcW w:type="dxa" w:w="2520"/>
          </w:tcPr>
          <w:p>
            <w:r>
              <w:t>APEX 24.2 Unified Task List &amp; Approval Workflows</w:t>
            </w:r>
          </w:p>
        </w:tc>
        <w:tc>
          <w:tcPr>
            <w:tcW w:type="dxa" w:w="2520"/>
          </w:tcPr>
          <w:p>
            <w:r>
              <w:t>Role-Based State Machine &amp; Email Notifications</w:t>
            </w:r>
          </w:p>
        </w:tc>
      </w:tr>
      <w:tr>
        <w:tc>
          <w:tcPr>
            <w:tcW w:type="dxa" w:w="2520"/>
          </w:tcPr>
          <w:p>
            <w:r>
              <w:rPr>
                <w:b/>
              </w:rPr>
              <w:t>REQ-06</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B44C2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Can finance and operations users still copy-paste blocks of cells from Excel and export back to Excel?   [Evaluator Score: ___ / 10]</w:t>
      </w:r>
    </w:p>
    <w:p>
      <w:pPr>
        <w:pStyle w:val="ListBullet"/>
      </w:pPr>
      <w:r>
        <w:rPr>
          <w:b/>
        </w:rPr>
        <w:t xml:space="preserve">Reference Evaluation Benchmark: </w:t>
      </w:r>
      <w:r>
        <w:t>Yes. We enable bulk clipboard paste and `APEX_DATA_PARSER` drag-and-drop uploads with staging validation, plus one-click native `.xlsx` exports with formatting preserved.</w:t>
      </w:r>
    </w:p>
    <w:p>
      <w:pPr>
        <w:pStyle w:val="ListBullet"/>
      </w:pPr>
      <w:r>
        <w:rPr>
          <w:b/>
        </w:rPr>
        <w:t xml:space="preserve">Vendor Written Response: </w:t>
      </w:r>
      <w:r>
        <w:t>[Bidder to insert concrete technical architecture and verifiable production proof here]</w:t>
      </w:r>
    </w:p>
    <w:p>
      <w:r>
        <w:rPr>
          <w:b/>
        </w:rPr>
        <w:t>Vendor Question 2: How do you prevent departments from creating new ungoverned Access databases?   [Evaluator Score: ___ / 10]</w:t>
      </w:r>
    </w:p>
    <w:p>
      <w:pPr>
        <w:pStyle w:val="ListBullet"/>
      </w:pPr>
      <w:r>
        <w:rPr>
          <w:b/>
        </w:rPr>
        <w:t xml:space="preserve">Reference Evaluation Benchmark: </w:t>
      </w:r>
      <w:r>
        <w:t>We deploy a central Oracle APEX 'Data App Factory' governed by Viscosity AMP so new departmental apps can be spun up with SSO, audit logging, and backup policies in 48 hours.</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the Shadow-IT-to-APEX assessment scorecard, the `APEX_DATA_PARSER` validation pipeline pattern, and 4 real-world anonymized reference architectures.</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B44C2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C1E18"/>
          </w:tcPr>
          <w:p>
            <w:r>
              <w:rPr>
                <w:b/>
                <w:color w:val="FFFFFF"/>
                <w:sz w:val="19"/>
              </w:rPr>
              <w:t>Milestone / Phase</w:t>
            </w:r>
          </w:p>
        </w:tc>
        <w:tc>
          <w:tcPr>
            <w:tcW w:type="dxa" w:w="2520"/>
            <w:shd w:val="clear" w:color="auto" w:fill="2C1E18"/>
          </w:tcPr>
          <w:p>
            <w:r>
              <w:rPr>
                <w:b/>
                <w:color w:val="FFFFFF"/>
                <w:sz w:val="19"/>
              </w:rPr>
              <w:t>Deliverable &amp; Acceptance Gate</w:t>
            </w:r>
          </w:p>
        </w:tc>
        <w:tc>
          <w:tcPr>
            <w:tcW w:type="dxa" w:w="2520"/>
            <w:shd w:val="clear" w:color="auto" w:fill="2C1E18"/>
          </w:tcPr>
          <w:p>
            <w:r>
              <w:rPr>
                <w:b/>
                <w:color w:val="FFFFFF"/>
                <w:sz w:val="19"/>
              </w:rPr>
              <w:t>Fixed Fee (USD)</w:t>
            </w:r>
          </w:p>
        </w:tc>
        <w:tc>
          <w:tcPr>
            <w:tcW w:type="dxa" w:w="2520"/>
            <w:shd w:val="clear" w:color="auto" w:fill="2C1E18"/>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VNA-RFP-007  |  https://ms-access-excel-to-apex.web.app/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